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942DC" w14:textId="7BC58310" w:rsidR="0090434E" w:rsidRDefault="0090434E" w:rsidP="00FA20B5">
      <w:pPr>
        <w:pStyle w:val="Heading2"/>
        <w:spacing w:before="200" w:beforeAutospacing="0" w:afterAutospacing="0"/>
        <w:rPr>
          <w:rFonts w:ascii="Arial" w:hAnsi="Arial" w:cs="Arial"/>
          <w:b w:val="0"/>
          <w:bCs w:val="0"/>
          <w:color w:val="000000"/>
          <w:sz w:val="24"/>
          <w:szCs w:val="24"/>
        </w:rPr>
      </w:pPr>
      <w:r>
        <w:rPr>
          <w:rFonts w:ascii="Arial" w:hAnsi="Arial" w:cs="Arial"/>
          <w:b w:val="0"/>
          <w:bCs w:val="0"/>
          <w:color w:val="000000"/>
          <w:sz w:val="24"/>
          <w:szCs w:val="24"/>
        </w:rPr>
        <w:t>Brothers/Sisters,</w:t>
      </w:r>
    </w:p>
    <w:p w14:paraId="6341E7F5" w14:textId="39562EE1" w:rsidR="0090434E" w:rsidRDefault="0090434E" w:rsidP="00FA20B5">
      <w:pPr>
        <w:pStyle w:val="Heading2"/>
        <w:spacing w:before="200" w:beforeAutospacing="0" w:afterAutospacing="0"/>
        <w:rPr>
          <w:rFonts w:ascii="Arial" w:hAnsi="Arial" w:cs="Arial"/>
          <w:b w:val="0"/>
          <w:bCs w:val="0"/>
          <w:color w:val="000000"/>
          <w:sz w:val="24"/>
          <w:szCs w:val="24"/>
        </w:rPr>
      </w:pPr>
      <w:r>
        <w:rPr>
          <w:rFonts w:ascii="Arial" w:hAnsi="Arial" w:cs="Arial"/>
          <w:b w:val="0"/>
          <w:bCs w:val="0"/>
          <w:color w:val="000000"/>
          <w:sz w:val="24"/>
          <w:szCs w:val="24"/>
        </w:rPr>
        <w:t xml:space="preserve">The information below is some quick reference about the new Clearinghouse queries CSXT is required to conduct.  The first underlined </w:t>
      </w:r>
      <w:r w:rsidR="00491123">
        <w:rPr>
          <w:rFonts w:ascii="Arial" w:hAnsi="Arial" w:cs="Arial"/>
          <w:b w:val="0"/>
          <w:bCs w:val="0"/>
          <w:color w:val="000000"/>
          <w:sz w:val="24"/>
          <w:szCs w:val="24"/>
        </w:rPr>
        <w:t xml:space="preserve">title is a website link for an article that explains about the why and who is required to conduct these queries. The second underlined title is a website link for the complete CFR Title 49: Part 382-Controlled Substances and Alcohol Use and Testing Regulation.  </w:t>
      </w:r>
    </w:p>
    <w:p w14:paraId="74A31148" w14:textId="1B88BB34" w:rsidR="00491123" w:rsidRDefault="00491123" w:rsidP="00FA20B5">
      <w:pPr>
        <w:pStyle w:val="Heading2"/>
        <w:spacing w:before="200" w:beforeAutospacing="0" w:afterAutospacing="0"/>
        <w:rPr>
          <w:rFonts w:ascii="Arial" w:hAnsi="Arial" w:cs="Arial"/>
          <w:b w:val="0"/>
          <w:bCs w:val="0"/>
          <w:color w:val="000000"/>
          <w:sz w:val="24"/>
          <w:szCs w:val="24"/>
        </w:rPr>
      </w:pPr>
      <w:r>
        <w:rPr>
          <w:rFonts w:ascii="Arial" w:hAnsi="Arial" w:cs="Arial"/>
          <w:b w:val="0"/>
          <w:bCs w:val="0"/>
          <w:color w:val="000000"/>
          <w:sz w:val="24"/>
          <w:szCs w:val="24"/>
        </w:rPr>
        <w:t>If you have any further questions and/or concerns, please contact your Local Chairman.</w:t>
      </w:r>
    </w:p>
    <w:p w14:paraId="6C08EA6E" w14:textId="77777777" w:rsidR="0090434E" w:rsidRDefault="0090434E" w:rsidP="00FA20B5">
      <w:pPr>
        <w:pStyle w:val="Heading2"/>
        <w:spacing w:before="200" w:beforeAutospacing="0" w:afterAutospacing="0"/>
        <w:rPr>
          <w:rFonts w:ascii="Arial" w:hAnsi="Arial" w:cs="Arial"/>
          <w:color w:val="000000"/>
          <w:sz w:val="27"/>
          <w:szCs w:val="27"/>
        </w:rPr>
      </w:pPr>
    </w:p>
    <w:p w14:paraId="5591973A" w14:textId="348BA36A" w:rsidR="00FA20B5" w:rsidRDefault="00006DE0" w:rsidP="00FA20B5">
      <w:pPr>
        <w:pStyle w:val="Heading2"/>
        <w:spacing w:before="200" w:beforeAutospacing="0" w:afterAutospacing="0"/>
        <w:rPr>
          <w:rFonts w:ascii="Arial" w:hAnsi="Arial" w:cs="Arial"/>
          <w:color w:val="000000"/>
          <w:sz w:val="27"/>
          <w:szCs w:val="27"/>
        </w:rPr>
      </w:pPr>
      <w:hyperlink r:id="rId6" w:history="1">
        <w:r w:rsidRPr="00006DE0">
          <w:rPr>
            <w:rStyle w:val="Hyperlink"/>
            <w:rFonts w:ascii="Arial" w:hAnsi="Arial" w:cs="Arial"/>
            <w:sz w:val="27"/>
            <w:szCs w:val="27"/>
          </w:rPr>
          <w:t>New Drug and Alcohol Clearinghouse</w:t>
        </w:r>
      </w:hyperlink>
    </w:p>
    <w:p w14:paraId="7A4661EF" w14:textId="1C98F846" w:rsidR="00FA20B5" w:rsidRDefault="00167C5A" w:rsidP="00FA20B5">
      <w:pPr>
        <w:pStyle w:val="Heading2"/>
        <w:spacing w:before="200" w:beforeAutospacing="0" w:afterAutospacing="0"/>
        <w:rPr>
          <w:rFonts w:ascii="Arial" w:hAnsi="Arial" w:cs="Arial"/>
          <w:color w:val="000000"/>
          <w:sz w:val="27"/>
          <w:szCs w:val="27"/>
        </w:rPr>
      </w:pPr>
      <w:hyperlink r:id="rId7" w:anchor="se49.5.382_1703" w:history="1">
        <w:r w:rsidRPr="00167C5A">
          <w:rPr>
            <w:rStyle w:val="Hyperlink"/>
            <w:rFonts w:ascii="Arial" w:hAnsi="Arial" w:cs="Arial"/>
            <w:sz w:val="27"/>
            <w:szCs w:val="27"/>
          </w:rPr>
          <w:t>e-CFR Title 49: Transportation Part 382</w:t>
        </w:r>
      </w:hyperlink>
    </w:p>
    <w:p w14:paraId="0E02D313" w14:textId="77777777" w:rsidR="00FA20B5" w:rsidRDefault="00FA20B5" w:rsidP="00FA20B5">
      <w:pPr>
        <w:pStyle w:val="Heading2"/>
        <w:spacing w:before="200" w:beforeAutospacing="0" w:afterAutospacing="0"/>
        <w:rPr>
          <w:rFonts w:ascii="Arial" w:hAnsi="Arial" w:cs="Arial"/>
          <w:color w:val="000000"/>
          <w:sz w:val="27"/>
          <w:szCs w:val="27"/>
        </w:rPr>
      </w:pPr>
    </w:p>
    <w:p w14:paraId="4F8823C5" w14:textId="7927FC31" w:rsidR="00FA20B5" w:rsidRDefault="00FA20B5" w:rsidP="00FA20B5">
      <w:pPr>
        <w:pStyle w:val="Heading2"/>
        <w:spacing w:before="200" w:beforeAutospacing="0" w:afterAutospacing="0"/>
        <w:rPr>
          <w:rFonts w:ascii="Arial" w:hAnsi="Arial" w:cs="Arial"/>
          <w:color w:val="000000"/>
          <w:sz w:val="27"/>
          <w:szCs w:val="27"/>
        </w:rPr>
      </w:pPr>
      <w:r>
        <w:rPr>
          <w:rFonts w:ascii="Arial" w:hAnsi="Arial" w:cs="Arial"/>
          <w:color w:val="000000"/>
          <w:sz w:val="27"/>
          <w:szCs w:val="27"/>
        </w:rPr>
        <w:t>Subpart G—Requirements and Procedures for Implementation of the Commercial Driver's License Drug and Alcohol Clearinghouse</w:t>
      </w:r>
    </w:p>
    <w:p w14:paraId="49560EC8" w14:textId="77777777" w:rsidR="00FA20B5" w:rsidRDefault="00FA20B5" w:rsidP="00FA20B5">
      <w:pPr>
        <w:pStyle w:val="Heading2"/>
        <w:spacing w:before="200" w:beforeAutospacing="0" w:afterAutospacing="0"/>
        <w:rPr>
          <w:rFonts w:ascii="Arial" w:hAnsi="Arial" w:cs="Arial"/>
          <w:color w:val="000000"/>
          <w:sz w:val="21"/>
          <w:szCs w:val="21"/>
        </w:rPr>
      </w:pPr>
    </w:p>
    <w:p w14:paraId="4ECBD88B" w14:textId="77777777" w:rsidR="00FA20B5" w:rsidRDefault="00FA20B5" w:rsidP="00FA20B5">
      <w:pPr>
        <w:pStyle w:val="Heading2"/>
        <w:spacing w:before="200" w:beforeAutospacing="0" w:afterAutospacing="0"/>
        <w:rPr>
          <w:rFonts w:ascii="Arial" w:hAnsi="Arial" w:cs="Arial"/>
          <w:color w:val="000000"/>
          <w:sz w:val="21"/>
          <w:szCs w:val="21"/>
        </w:rPr>
      </w:pPr>
      <w:r>
        <w:rPr>
          <w:rFonts w:ascii="Arial" w:hAnsi="Arial" w:cs="Arial"/>
          <w:color w:val="000000"/>
          <w:sz w:val="21"/>
          <w:szCs w:val="21"/>
        </w:rPr>
        <w:t>§382.701   Drug and Alcohol Clearinghouse.</w:t>
      </w:r>
    </w:p>
    <w:p w14:paraId="7D3DE56D" w14:textId="77777777" w:rsidR="00FA20B5" w:rsidRDefault="00FA20B5" w:rsidP="00FA20B5">
      <w:pPr>
        <w:pStyle w:val="NormalWeb"/>
        <w:ind w:firstLine="480"/>
        <w:rPr>
          <w:rFonts w:ascii="Arial" w:hAnsi="Arial" w:cs="Arial"/>
          <w:color w:val="000000"/>
          <w:sz w:val="21"/>
          <w:szCs w:val="21"/>
        </w:rPr>
      </w:pPr>
      <w:r>
        <w:rPr>
          <w:rFonts w:ascii="Arial" w:hAnsi="Arial" w:cs="Arial"/>
          <w:color w:val="000000"/>
          <w:sz w:val="21"/>
          <w:szCs w:val="21"/>
        </w:rPr>
        <w:t>(2) The employer must conduct a full query under this section, which releases information in the Clearinghouse to an employer and requires that the individual driver give specific consent.</w:t>
      </w:r>
    </w:p>
    <w:p w14:paraId="4A97739E" w14:textId="77777777" w:rsidR="00FA20B5" w:rsidRDefault="00FA20B5" w:rsidP="00FA20B5">
      <w:pPr>
        <w:pStyle w:val="NormalWeb"/>
        <w:ind w:firstLine="480"/>
        <w:rPr>
          <w:rFonts w:ascii="Arial" w:hAnsi="Arial" w:cs="Arial"/>
          <w:color w:val="000000"/>
          <w:sz w:val="21"/>
          <w:szCs w:val="21"/>
        </w:rPr>
      </w:pPr>
      <w:r>
        <w:rPr>
          <w:rFonts w:ascii="Arial" w:hAnsi="Arial" w:cs="Arial"/>
          <w:color w:val="000000"/>
          <w:sz w:val="21"/>
          <w:szCs w:val="21"/>
        </w:rPr>
        <w:t>(b)</w:t>
      </w:r>
      <w:r>
        <w:rPr>
          <w:rStyle w:val="apple-converted-space"/>
          <w:rFonts w:ascii="Arial" w:hAnsi="Arial" w:cs="Arial"/>
          <w:color w:val="000000"/>
          <w:sz w:val="21"/>
          <w:szCs w:val="21"/>
        </w:rPr>
        <w:t> </w:t>
      </w:r>
      <w:r>
        <w:rPr>
          <w:rFonts w:ascii="Arial" w:hAnsi="Arial" w:cs="Arial"/>
          <w:i/>
          <w:iCs/>
          <w:color w:val="000000"/>
          <w:sz w:val="21"/>
          <w:szCs w:val="21"/>
        </w:rPr>
        <w:t>Annual query required.</w:t>
      </w:r>
      <w:r>
        <w:rPr>
          <w:rStyle w:val="apple-converted-space"/>
          <w:rFonts w:ascii="Arial" w:hAnsi="Arial" w:cs="Arial"/>
          <w:color w:val="000000"/>
          <w:sz w:val="21"/>
          <w:szCs w:val="21"/>
        </w:rPr>
        <w:t> </w:t>
      </w:r>
      <w:r>
        <w:rPr>
          <w:rFonts w:ascii="Arial" w:hAnsi="Arial" w:cs="Arial"/>
          <w:color w:val="000000"/>
          <w:sz w:val="21"/>
          <w:szCs w:val="21"/>
        </w:rPr>
        <w:t xml:space="preserve">(1) Employers must conduct a query of the Clearinghouse at least once per year for information for all </w:t>
      </w:r>
      <w:proofErr w:type="gramStart"/>
      <w:r>
        <w:rPr>
          <w:rFonts w:ascii="Arial" w:hAnsi="Arial" w:cs="Arial"/>
          <w:color w:val="000000"/>
          <w:sz w:val="21"/>
          <w:szCs w:val="21"/>
        </w:rPr>
        <w:t>employees</w:t>
      </w:r>
      <w:proofErr w:type="gramEnd"/>
      <w:r>
        <w:rPr>
          <w:rFonts w:ascii="Arial" w:hAnsi="Arial" w:cs="Arial"/>
          <w:color w:val="000000"/>
          <w:sz w:val="21"/>
          <w:szCs w:val="21"/>
        </w:rPr>
        <w:t xml:space="preserve"> subject to controlled substance and alcohol testing under this part to determine whether information exists in the Clearinghouse about those employees.</w:t>
      </w:r>
    </w:p>
    <w:p w14:paraId="2F3B5954" w14:textId="77777777" w:rsidR="00FA20B5" w:rsidRDefault="00FA20B5" w:rsidP="00FA20B5">
      <w:pPr>
        <w:pStyle w:val="NormalWeb"/>
        <w:ind w:firstLine="480"/>
        <w:rPr>
          <w:rFonts w:ascii="Arial" w:hAnsi="Arial" w:cs="Arial"/>
          <w:color w:val="000000"/>
          <w:sz w:val="21"/>
          <w:szCs w:val="21"/>
        </w:rPr>
      </w:pPr>
      <w:r>
        <w:rPr>
          <w:rFonts w:ascii="Arial" w:hAnsi="Arial" w:cs="Arial"/>
          <w:color w:val="000000"/>
          <w:sz w:val="21"/>
          <w:szCs w:val="21"/>
        </w:rPr>
        <w:t xml:space="preserve">(2) In lieu of a full query, as described in paragraph (a)(2) of this section, an employer may obtain the individual driver's consent to conduct a limited query to satisfy the annual query requirement in paragraph (b)(1) of this section. The limited query will tell the employer whether there is information about the individual driver in the </w:t>
      </w:r>
      <w:proofErr w:type="gramStart"/>
      <w:r>
        <w:rPr>
          <w:rFonts w:ascii="Arial" w:hAnsi="Arial" w:cs="Arial"/>
          <w:color w:val="000000"/>
          <w:sz w:val="21"/>
          <w:szCs w:val="21"/>
        </w:rPr>
        <w:t>Clearinghouse, but</w:t>
      </w:r>
      <w:proofErr w:type="gramEnd"/>
      <w:r>
        <w:rPr>
          <w:rFonts w:ascii="Arial" w:hAnsi="Arial" w:cs="Arial"/>
          <w:color w:val="000000"/>
          <w:sz w:val="21"/>
          <w:szCs w:val="21"/>
        </w:rPr>
        <w:t xml:space="preserve"> will not release that information to the employer. The individual driver may give consent to conduct limited queries that is effective for more than one year.</w:t>
      </w:r>
    </w:p>
    <w:p w14:paraId="12DEB8B2" w14:textId="77777777" w:rsidR="00FA20B5" w:rsidRDefault="00FA20B5" w:rsidP="00FA20B5">
      <w:pPr>
        <w:pStyle w:val="NormalWeb"/>
        <w:ind w:firstLine="480"/>
        <w:rPr>
          <w:rFonts w:ascii="Arial" w:hAnsi="Arial" w:cs="Arial"/>
          <w:color w:val="000000"/>
          <w:sz w:val="21"/>
          <w:szCs w:val="21"/>
        </w:rPr>
      </w:pPr>
      <w:r>
        <w:rPr>
          <w:rFonts w:ascii="Arial" w:hAnsi="Arial" w:cs="Arial"/>
          <w:color w:val="000000"/>
          <w:sz w:val="21"/>
          <w:szCs w:val="21"/>
        </w:rPr>
        <w:t xml:space="preserve">(3) If the limited query shows that information exists in the Clearinghouse about the individual driver, the employer must conduct a full query, in accordance with paragraph (a)(2) of this section, within 24 hours of conducting the limited query. </w:t>
      </w:r>
      <w:r w:rsidRPr="0090434E">
        <w:rPr>
          <w:rFonts w:ascii="Arial" w:hAnsi="Arial" w:cs="Arial"/>
          <w:color w:val="000000"/>
          <w:sz w:val="21"/>
          <w:szCs w:val="21"/>
        </w:rPr>
        <w:t>If the employer fails to conduct a full query within 24 hours, the employer must not allow the driver to continue to perform any safety-sensitive function until the employer conducts the full query and the results confirm that the driver's Clearinghouse record contains no prohibitions as defined in paragraph (d) of this section.</w:t>
      </w:r>
    </w:p>
    <w:p w14:paraId="653C90BC" w14:textId="77777777" w:rsidR="00FA20B5" w:rsidRDefault="00FA20B5" w:rsidP="00FA20B5">
      <w:pPr>
        <w:pStyle w:val="Heading2"/>
        <w:spacing w:before="200" w:beforeAutospacing="0" w:afterAutospacing="0"/>
        <w:rPr>
          <w:rFonts w:ascii="Arial" w:hAnsi="Arial" w:cs="Arial"/>
          <w:color w:val="000000"/>
          <w:sz w:val="21"/>
          <w:szCs w:val="21"/>
        </w:rPr>
      </w:pPr>
    </w:p>
    <w:p w14:paraId="376058D9" w14:textId="77777777" w:rsidR="00FA20B5" w:rsidRDefault="00FA20B5" w:rsidP="00FA20B5">
      <w:pPr>
        <w:pStyle w:val="Heading2"/>
        <w:spacing w:before="200" w:beforeAutospacing="0" w:afterAutospacing="0"/>
        <w:rPr>
          <w:rFonts w:ascii="Arial" w:hAnsi="Arial" w:cs="Arial"/>
          <w:color w:val="000000"/>
          <w:sz w:val="21"/>
          <w:szCs w:val="21"/>
        </w:rPr>
      </w:pPr>
    </w:p>
    <w:p w14:paraId="5831E997" w14:textId="5F897528" w:rsidR="00FA20B5" w:rsidRDefault="00FA20B5" w:rsidP="00FA20B5">
      <w:pPr>
        <w:pStyle w:val="Heading2"/>
        <w:spacing w:before="200" w:beforeAutospacing="0" w:afterAutospacing="0"/>
        <w:rPr>
          <w:rFonts w:ascii="Arial" w:hAnsi="Arial" w:cs="Arial"/>
          <w:color w:val="000000"/>
          <w:sz w:val="21"/>
          <w:szCs w:val="21"/>
        </w:rPr>
      </w:pPr>
      <w:r>
        <w:rPr>
          <w:rFonts w:ascii="Arial" w:hAnsi="Arial" w:cs="Arial"/>
          <w:color w:val="000000"/>
          <w:sz w:val="21"/>
          <w:szCs w:val="21"/>
        </w:rPr>
        <w:t>§382.703   Driver consent to permit access to information in the Clearinghouse.</w:t>
      </w:r>
    </w:p>
    <w:p w14:paraId="0DDB2D12" w14:textId="77777777" w:rsidR="00FA20B5" w:rsidRDefault="00FA20B5" w:rsidP="00FA20B5">
      <w:pPr>
        <w:pStyle w:val="NormalWeb"/>
        <w:ind w:firstLine="480"/>
        <w:rPr>
          <w:rFonts w:ascii="Arial" w:hAnsi="Arial" w:cs="Arial"/>
          <w:color w:val="000000"/>
          <w:sz w:val="21"/>
          <w:szCs w:val="21"/>
        </w:rPr>
      </w:pPr>
      <w:r>
        <w:rPr>
          <w:rFonts w:ascii="Arial" w:hAnsi="Arial" w:cs="Arial"/>
          <w:color w:val="000000"/>
          <w:sz w:val="21"/>
          <w:szCs w:val="21"/>
        </w:rPr>
        <w:t>(a) No employer may query the Clearinghouse to determine whether a record exists for any particular driver without first obtaining that driver's written or electronic consent. The employer conducting the search must retain the consent for 3 years from the date of the last query.</w:t>
      </w:r>
    </w:p>
    <w:p w14:paraId="2C5CC34A" w14:textId="77777777" w:rsidR="00FA20B5" w:rsidRDefault="00FA20B5" w:rsidP="00FA20B5">
      <w:pPr>
        <w:pStyle w:val="NormalWeb"/>
        <w:ind w:firstLine="480"/>
        <w:rPr>
          <w:rFonts w:ascii="Arial" w:hAnsi="Arial" w:cs="Arial"/>
          <w:color w:val="000000"/>
          <w:sz w:val="21"/>
          <w:szCs w:val="21"/>
        </w:rPr>
      </w:pPr>
      <w:r>
        <w:rPr>
          <w:rFonts w:ascii="Arial" w:hAnsi="Arial" w:cs="Arial"/>
          <w:color w:val="000000"/>
          <w:sz w:val="21"/>
          <w:szCs w:val="21"/>
        </w:rPr>
        <w:t>(b) Before the employer may access information contained in the driver's Clearinghouse record, the driver must submit electronic consent through the Clearinghouse granting the employer access to the following specific records:</w:t>
      </w:r>
    </w:p>
    <w:p w14:paraId="68A1F4BB" w14:textId="5B0BA1D9" w:rsidR="00FA20B5" w:rsidRPr="00FA20B5" w:rsidRDefault="00FA20B5" w:rsidP="00FA20B5">
      <w:pPr>
        <w:pStyle w:val="Heading2"/>
        <w:spacing w:before="200" w:beforeAutospacing="0" w:afterAutospacing="0"/>
        <w:rPr>
          <w:rFonts w:ascii="Arial" w:hAnsi="Arial" w:cs="Arial"/>
          <w:color w:val="000000"/>
          <w:sz w:val="21"/>
          <w:szCs w:val="21"/>
        </w:rPr>
      </w:pPr>
    </w:p>
    <w:p w14:paraId="508B16E8" w14:textId="77777777" w:rsidR="00FA20B5" w:rsidRDefault="00FA20B5" w:rsidP="00FA20B5">
      <w:pPr>
        <w:pStyle w:val="Heading2"/>
        <w:spacing w:before="200" w:beforeAutospacing="0" w:afterAutospacing="0"/>
        <w:rPr>
          <w:rFonts w:ascii="Arial" w:hAnsi="Arial" w:cs="Arial"/>
          <w:color w:val="000000"/>
          <w:sz w:val="21"/>
          <w:szCs w:val="21"/>
        </w:rPr>
      </w:pPr>
      <w:r>
        <w:rPr>
          <w:rFonts w:ascii="Arial" w:hAnsi="Arial" w:cs="Arial"/>
          <w:color w:val="000000"/>
          <w:sz w:val="21"/>
          <w:szCs w:val="21"/>
        </w:rPr>
        <w:t>§382.707   Notice to drivers of entry, revision, removal, or release of information.</w:t>
      </w:r>
    </w:p>
    <w:p w14:paraId="02FAB4A0" w14:textId="77777777" w:rsidR="00FA20B5" w:rsidRDefault="00FA20B5" w:rsidP="00FA20B5">
      <w:pPr>
        <w:pStyle w:val="NormalWeb"/>
        <w:ind w:firstLine="480"/>
        <w:rPr>
          <w:rFonts w:ascii="Arial" w:hAnsi="Arial" w:cs="Arial"/>
          <w:color w:val="000000"/>
          <w:sz w:val="21"/>
          <w:szCs w:val="21"/>
        </w:rPr>
      </w:pPr>
      <w:r>
        <w:rPr>
          <w:rFonts w:ascii="Arial" w:hAnsi="Arial" w:cs="Arial"/>
          <w:color w:val="000000"/>
          <w:sz w:val="21"/>
          <w:szCs w:val="21"/>
        </w:rPr>
        <w:t>(a) FMCSA must notify a driver when information concerning that driver has been added to, revised, or removed from the Clearinghouse.</w:t>
      </w:r>
    </w:p>
    <w:p w14:paraId="681AAD37" w14:textId="23EE4677" w:rsidR="00FA20B5" w:rsidRPr="00FA20B5" w:rsidRDefault="00FA20B5" w:rsidP="00FA20B5">
      <w:pPr>
        <w:pStyle w:val="NormalWeb"/>
        <w:ind w:firstLine="480"/>
        <w:rPr>
          <w:rFonts w:ascii="Arial" w:hAnsi="Arial" w:cs="Arial"/>
          <w:color w:val="000000"/>
          <w:sz w:val="21"/>
          <w:szCs w:val="21"/>
        </w:rPr>
      </w:pPr>
      <w:r>
        <w:rPr>
          <w:rFonts w:ascii="Arial" w:hAnsi="Arial" w:cs="Arial"/>
          <w:color w:val="000000"/>
          <w:sz w:val="21"/>
          <w:szCs w:val="21"/>
        </w:rPr>
        <w:t>(b) FMCSA must notify a driver when information concerning that driver has been released from the Clearinghouse to an employer and specify the reason for the release.</w:t>
      </w:r>
    </w:p>
    <w:p w14:paraId="1A7F19B0" w14:textId="77777777" w:rsidR="00FA20B5" w:rsidRDefault="00FA20B5" w:rsidP="00FA20B5">
      <w:pPr>
        <w:spacing w:before="200" w:after="100"/>
        <w:outlineLvl w:val="1"/>
        <w:rPr>
          <w:rFonts w:ascii="Arial" w:eastAsia="Times New Roman" w:hAnsi="Arial" w:cs="Arial"/>
          <w:b/>
          <w:bCs/>
          <w:color w:val="000000"/>
          <w:sz w:val="21"/>
          <w:szCs w:val="21"/>
        </w:rPr>
      </w:pPr>
    </w:p>
    <w:p w14:paraId="169EE5E5" w14:textId="77777777" w:rsidR="00FA20B5" w:rsidRDefault="00FA20B5" w:rsidP="00FA20B5">
      <w:pPr>
        <w:pStyle w:val="Heading2"/>
        <w:spacing w:before="200" w:beforeAutospacing="0" w:afterAutospacing="0"/>
        <w:rPr>
          <w:rFonts w:ascii="Arial" w:hAnsi="Arial" w:cs="Arial"/>
          <w:color w:val="000000"/>
          <w:sz w:val="21"/>
          <w:szCs w:val="21"/>
        </w:rPr>
      </w:pPr>
      <w:r>
        <w:rPr>
          <w:rFonts w:ascii="Arial" w:hAnsi="Arial" w:cs="Arial"/>
          <w:color w:val="000000"/>
          <w:sz w:val="21"/>
          <w:szCs w:val="21"/>
        </w:rPr>
        <w:t>§382.709   Drivers' access to information in the Clearinghouse.</w:t>
      </w:r>
    </w:p>
    <w:p w14:paraId="36D003EC" w14:textId="28B3A496" w:rsidR="00FA20B5" w:rsidRPr="00FA20B5" w:rsidRDefault="00FA20B5" w:rsidP="00FA20B5">
      <w:pPr>
        <w:pStyle w:val="NormalWeb"/>
        <w:ind w:firstLine="480"/>
        <w:rPr>
          <w:rFonts w:ascii="Arial" w:hAnsi="Arial" w:cs="Arial"/>
          <w:color w:val="000000"/>
          <w:sz w:val="21"/>
          <w:szCs w:val="21"/>
        </w:rPr>
      </w:pPr>
      <w:r>
        <w:rPr>
          <w:rFonts w:ascii="Arial" w:hAnsi="Arial" w:cs="Arial"/>
          <w:color w:val="000000"/>
          <w:sz w:val="21"/>
          <w:szCs w:val="21"/>
        </w:rPr>
        <w:t>A driver may review information in the Clearinghouse about himself or herself, except as otherwise restricted by law or regulation. A driver must register with the Clearinghouse before accessing his or her information.</w:t>
      </w:r>
    </w:p>
    <w:p w14:paraId="6DF5937E" w14:textId="2547C4E8" w:rsidR="00FA20B5" w:rsidRDefault="00FA20B5" w:rsidP="00FA20B5">
      <w:pPr>
        <w:pStyle w:val="Heading2"/>
        <w:spacing w:before="200" w:beforeAutospacing="0" w:afterAutospacing="0"/>
        <w:rPr>
          <w:rFonts w:ascii="Arial" w:hAnsi="Arial" w:cs="Arial"/>
          <w:color w:val="000000"/>
          <w:sz w:val="21"/>
          <w:szCs w:val="21"/>
        </w:rPr>
      </w:pPr>
      <w:r>
        <w:rPr>
          <w:rFonts w:ascii="Arial" w:hAnsi="Arial" w:cs="Arial"/>
          <w:color w:val="000000"/>
          <w:sz w:val="21"/>
          <w:szCs w:val="21"/>
        </w:rPr>
        <w:t>§382.717   Procedures for correcting information in the database.</w:t>
      </w:r>
    </w:p>
    <w:p w14:paraId="4D59CEBF" w14:textId="77777777" w:rsidR="00FA20B5" w:rsidRPr="00FA20B5" w:rsidRDefault="00FA20B5" w:rsidP="00FA20B5">
      <w:pPr>
        <w:pStyle w:val="Heading2"/>
        <w:spacing w:before="200" w:beforeAutospacing="0" w:afterAutospacing="0"/>
        <w:rPr>
          <w:rFonts w:ascii="Arial" w:hAnsi="Arial" w:cs="Arial"/>
          <w:color w:val="000000"/>
          <w:sz w:val="21"/>
          <w:szCs w:val="21"/>
        </w:rPr>
      </w:pPr>
    </w:p>
    <w:p w14:paraId="54469118" w14:textId="1F828A05" w:rsidR="00FA20B5" w:rsidRPr="00FA20B5" w:rsidRDefault="00FA20B5" w:rsidP="00FA20B5">
      <w:pPr>
        <w:spacing w:before="200" w:after="100"/>
        <w:outlineLvl w:val="1"/>
        <w:rPr>
          <w:rFonts w:ascii="Arial" w:eastAsia="Times New Roman" w:hAnsi="Arial" w:cs="Arial"/>
          <w:b/>
          <w:bCs/>
          <w:color w:val="000000"/>
          <w:sz w:val="21"/>
          <w:szCs w:val="21"/>
        </w:rPr>
      </w:pPr>
      <w:r w:rsidRPr="00FA20B5">
        <w:rPr>
          <w:rFonts w:ascii="Arial" w:eastAsia="Times New Roman" w:hAnsi="Arial" w:cs="Arial"/>
          <w:b/>
          <w:bCs/>
          <w:color w:val="000000"/>
          <w:sz w:val="21"/>
          <w:szCs w:val="21"/>
        </w:rPr>
        <w:t>§382.723   Unauthorized access or use prohibited.</w:t>
      </w:r>
    </w:p>
    <w:p w14:paraId="53FE084F" w14:textId="77777777" w:rsidR="00FA20B5" w:rsidRDefault="00FA20B5" w:rsidP="00FA20B5">
      <w:pPr>
        <w:rPr>
          <w:rFonts w:ascii="Arial" w:eastAsia="Times New Roman" w:hAnsi="Arial" w:cs="Arial"/>
          <w:color w:val="000000"/>
          <w:sz w:val="21"/>
          <w:szCs w:val="21"/>
          <w:shd w:val="clear" w:color="auto" w:fill="FFFFFF"/>
        </w:rPr>
      </w:pPr>
    </w:p>
    <w:p w14:paraId="07571432" w14:textId="32391C43" w:rsidR="00FA20B5" w:rsidRPr="00FA20B5" w:rsidRDefault="00FA20B5" w:rsidP="00FA20B5">
      <w:pPr>
        <w:rPr>
          <w:rFonts w:ascii="Times New Roman" w:eastAsia="Times New Roman" w:hAnsi="Times New Roman" w:cs="Times New Roman"/>
        </w:rPr>
      </w:pPr>
      <w:r w:rsidRPr="00FA20B5">
        <w:rPr>
          <w:rFonts w:ascii="Arial" w:eastAsia="Times New Roman" w:hAnsi="Arial" w:cs="Arial"/>
          <w:color w:val="000000"/>
          <w:sz w:val="21"/>
          <w:szCs w:val="21"/>
          <w:shd w:val="clear" w:color="auto" w:fill="FFFFFF"/>
        </w:rPr>
        <w:t>No employer may divulge or permit any other person or entity to divulge any information from the Clearinghouse to any person or entity not directly involved in determining whether a prohibition applies to a driver performing a safety-sensitive function with respect to a commercial motor vehicle.</w:t>
      </w:r>
    </w:p>
    <w:p w14:paraId="09E1B09B" w14:textId="33795006" w:rsidR="00DA6219" w:rsidRDefault="00BD7559"/>
    <w:p w14:paraId="1DF6A520" w14:textId="77777777" w:rsidR="00167C5A" w:rsidRDefault="00167C5A" w:rsidP="00167C5A">
      <w:pPr>
        <w:pStyle w:val="Heading2"/>
        <w:spacing w:before="200" w:beforeAutospacing="0" w:afterAutospacing="0"/>
        <w:rPr>
          <w:rFonts w:ascii="Arial" w:hAnsi="Arial" w:cs="Arial"/>
          <w:color w:val="000000"/>
          <w:sz w:val="21"/>
          <w:szCs w:val="21"/>
        </w:rPr>
      </w:pPr>
      <w:r>
        <w:rPr>
          <w:rFonts w:ascii="Arial" w:hAnsi="Arial" w:cs="Arial"/>
          <w:color w:val="000000"/>
          <w:sz w:val="21"/>
          <w:szCs w:val="21"/>
        </w:rPr>
        <w:t>§382.415   Notification to employers of a controlled substances or alcohol testing program violation.</w:t>
      </w:r>
    </w:p>
    <w:p w14:paraId="4FFFD1AB" w14:textId="3A5146FB" w:rsidR="00167C5A" w:rsidRPr="00491123" w:rsidRDefault="00167C5A" w:rsidP="00491123">
      <w:pPr>
        <w:pStyle w:val="NormalWeb"/>
        <w:ind w:firstLine="480"/>
        <w:rPr>
          <w:rFonts w:ascii="Arial" w:hAnsi="Arial" w:cs="Arial"/>
          <w:color w:val="000000"/>
          <w:sz w:val="21"/>
          <w:szCs w:val="21"/>
        </w:rPr>
      </w:pPr>
      <w:r>
        <w:rPr>
          <w:rFonts w:ascii="Arial" w:hAnsi="Arial" w:cs="Arial"/>
          <w:color w:val="000000"/>
          <w:sz w:val="21"/>
          <w:szCs w:val="21"/>
        </w:rPr>
        <w:t>Each person holding a commercial driver's license and subject to the DOT controlled substances and alcohol testing requirements in this part who has violated the alcohol and controlled substances prohibitions under part 40 of this title or this part without complying with the requirements of part 40, subpart O, must notify in writing all current employers of such violation(s). The driver is not required to provide notification to the employer that administered the test or documented the circumstances that gave rise to the violation. The notification must be made before the end of the business day following the day the employee received notice of the violation, or prior to performing any safety-sensitive function, whichever comes first.</w:t>
      </w:r>
    </w:p>
    <w:sectPr w:rsidR="00167C5A" w:rsidRPr="00491123" w:rsidSect="0090434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593AB" w14:textId="77777777" w:rsidR="00BD7559" w:rsidRDefault="00BD7559" w:rsidP="0090434E">
      <w:r>
        <w:separator/>
      </w:r>
    </w:p>
  </w:endnote>
  <w:endnote w:type="continuationSeparator" w:id="0">
    <w:p w14:paraId="1083DC3C" w14:textId="77777777" w:rsidR="00BD7559" w:rsidRDefault="00BD7559" w:rsidP="0090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2B522" w14:textId="77777777" w:rsidR="00BD7559" w:rsidRDefault="00BD7559" w:rsidP="0090434E">
      <w:r>
        <w:separator/>
      </w:r>
    </w:p>
  </w:footnote>
  <w:footnote w:type="continuationSeparator" w:id="0">
    <w:p w14:paraId="4049A36D" w14:textId="77777777" w:rsidR="00BD7559" w:rsidRDefault="00BD7559" w:rsidP="00904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93A4F" w14:textId="368D7300" w:rsidR="0090434E" w:rsidRPr="0090434E" w:rsidRDefault="0090434E" w:rsidP="0090434E">
    <w:pPr>
      <w:pStyle w:val="Header"/>
    </w:pPr>
    <w:r w:rsidRPr="0090434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19A8F" w14:textId="77777777" w:rsidR="0090434E" w:rsidRPr="0090434E" w:rsidRDefault="0090434E" w:rsidP="0090434E">
    <w:pPr>
      <w:pStyle w:val="Header"/>
      <w:jc w:val="center"/>
      <w:rPr>
        <w:b/>
        <w:bCs/>
        <w:i/>
        <w:iCs/>
        <w:sz w:val="40"/>
        <w:szCs w:val="40"/>
      </w:rPr>
    </w:pPr>
    <w:r w:rsidRPr="0090434E">
      <w:rPr>
        <w:b/>
        <w:bCs/>
        <w:i/>
        <w:iCs/>
        <w:sz w:val="40"/>
        <w:szCs w:val="40"/>
      </w:rPr>
      <w:t xml:space="preserve">New Drug and Alcohol Clearinghouse </w:t>
    </w:r>
  </w:p>
  <w:p w14:paraId="66133E95" w14:textId="77777777" w:rsidR="0090434E" w:rsidRDefault="0090434E" w:rsidP="0090434E">
    <w:pPr>
      <w:pStyle w:val="Header"/>
      <w:jc w:val="center"/>
    </w:pPr>
    <w:r w:rsidRPr="0090434E">
      <w:rPr>
        <w:b/>
        <w:bCs/>
        <w:i/>
        <w:iCs/>
        <w:sz w:val="40"/>
        <w:szCs w:val="40"/>
      </w:rPr>
      <w:t>Information</w:t>
    </w:r>
    <w:r>
      <w:t xml:space="preserve"> </w:t>
    </w:r>
  </w:p>
  <w:p w14:paraId="1457850E" w14:textId="77777777" w:rsidR="0090434E" w:rsidRDefault="009043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0B5"/>
    <w:rsid w:val="00006DE0"/>
    <w:rsid w:val="000E23E7"/>
    <w:rsid w:val="00167C5A"/>
    <w:rsid w:val="003E0E0F"/>
    <w:rsid w:val="00491123"/>
    <w:rsid w:val="0090434E"/>
    <w:rsid w:val="00BD7559"/>
    <w:rsid w:val="00BF758C"/>
    <w:rsid w:val="00FA2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0DCAC2"/>
  <w15:chartTrackingRefBased/>
  <w15:docId w15:val="{43BE4D1E-4D01-3942-B553-2915501F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A20B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20B5"/>
    <w:rPr>
      <w:rFonts w:ascii="Times New Roman" w:eastAsia="Times New Roman" w:hAnsi="Times New Roman" w:cs="Times New Roman"/>
      <w:b/>
      <w:bCs/>
      <w:sz w:val="36"/>
      <w:szCs w:val="36"/>
    </w:rPr>
  </w:style>
  <w:style w:type="paragraph" w:styleId="NormalWeb">
    <w:name w:val="Normal (Web)"/>
    <w:basedOn w:val="Normal"/>
    <w:uiPriority w:val="99"/>
    <w:unhideWhenUsed/>
    <w:rsid w:val="00FA20B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A20B5"/>
  </w:style>
  <w:style w:type="character" w:styleId="Hyperlink">
    <w:name w:val="Hyperlink"/>
    <w:basedOn w:val="DefaultParagraphFont"/>
    <w:uiPriority w:val="99"/>
    <w:unhideWhenUsed/>
    <w:rsid w:val="00167C5A"/>
    <w:rPr>
      <w:color w:val="0563C1" w:themeColor="hyperlink"/>
      <w:u w:val="single"/>
    </w:rPr>
  </w:style>
  <w:style w:type="character" w:styleId="UnresolvedMention">
    <w:name w:val="Unresolved Mention"/>
    <w:basedOn w:val="DefaultParagraphFont"/>
    <w:uiPriority w:val="99"/>
    <w:semiHidden/>
    <w:unhideWhenUsed/>
    <w:rsid w:val="00167C5A"/>
    <w:rPr>
      <w:color w:val="605E5C"/>
      <w:shd w:val="clear" w:color="auto" w:fill="E1DFDD"/>
    </w:rPr>
  </w:style>
  <w:style w:type="character" w:styleId="FollowedHyperlink">
    <w:name w:val="FollowedHyperlink"/>
    <w:basedOn w:val="DefaultParagraphFont"/>
    <w:uiPriority w:val="99"/>
    <w:semiHidden/>
    <w:unhideWhenUsed/>
    <w:rsid w:val="0090434E"/>
    <w:rPr>
      <w:color w:val="954F72" w:themeColor="followedHyperlink"/>
      <w:u w:val="single"/>
    </w:rPr>
  </w:style>
  <w:style w:type="paragraph" w:styleId="Header">
    <w:name w:val="header"/>
    <w:basedOn w:val="Normal"/>
    <w:link w:val="HeaderChar"/>
    <w:uiPriority w:val="99"/>
    <w:unhideWhenUsed/>
    <w:rsid w:val="0090434E"/>
    <w:pPr>
      <w:tabs>
        <w:tab w:val="center" w:pos="4680"/>
        <w:tab w:val="right" w:pos="9360"/>
      </w:tabs>
    </w:pPr>
  </w:style>
  <w:style w:type="character" w:customStyle="1" w:styleId="HeaderChar">
    <w:name w:val="Header Char"/>
    <w:basedOn w:val="DefaultParagraphFont"/>
    <w:link w:val="Header"/>
    <w:uiPriority w:val="99"/>
    <w:rsid w:val="0090434E"/>
  </w:style>
  <w:style w:type="paragraph" w:styleId="Footer">
    <w:name w:val="footer"/>
    <w:basedOn w:val="Normal"/>
    <w:link w:val="FooterChar"/>
    <w:uiPriority w:val="99"/>
    <w:unhideWhenUsed/>
    <w:rsid w:val="0090434E"/>
    <w:pPr>
      <w:tabs>
        <w:tab w:val="center" w:pos="4680"/>
        <w:tab w:val="right" w:pos="9360"/>
      </w:tabs>
    </w:pPr>
  </w:style>
  <w:style w:type="character" w:customStyle="1" w:styleId="FooterChar">
    <w:name w:val="Footer Char"/>
    <w:basedOn w:val="DefaultParagraphFont"/>
    <w:link w:val="Footer"/>
    <w:uiPriority w:val="99"/>
    <w:rsid w:val="00904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66592">
      <w:bodyDiv w:val="1"/>
      <w:marLeft w:val="0"/>
      <w:marRight w:val="0"/>
      <w:marTop w:val="0"/>
      <w:marBottom w:val="0"/>
      <w:divBdr>
        <w:top w:val="none" w:sz="0" w:space="0" w:color="auto"/>
        <w:left w:val="none" w:sz="0" w:space="0" w:color="auto"/>
        <w:bottom w:val="none" w:sz="0" w:space="0" w:color="auto"/>
        <w:right w:val="none" w:sz="0" w:space="0" w:color="auto"/>
      </w:divBdr>
    </w:div>
    <w:div w:id="339311437">
      <w:bodyDiv w:val="1"/>
      <w:marLeft w:val="0"/>
      <w:marRight w:val="0"/>
      <w:marTop w:val="0"/>
      <w:marBottom w:val="0"/>
      <w:divBdr>
        <w:top w:val="none" w:sz="0" w:space="0" w:color="auto"/>
        <w:left w:val="none" w:sz="0" w:space="0" w:color="auto"/>
        <w:bottom w:val="none" w:sz="0" w:space="0" w:color="auto"/>
        <w:right w:val="none" w:sz="0" w:space="0" w:color="auto"/>
      </w:divBdr>
    </w:div>
    <w:div w:id="441076029">
      <w:bodyDiv w:val="1"/>
      <w:marLeft w:val="0"/>
      <w:marRight w:val="0"/>
      <w:marTop w:val="0"/>
      <w:marBottom w:val="0"/>
      <w:divBdr>
        <w:top w:val="none" w:sz="0" w:space="0" w:color="auto"/>
        <w:left w:val="none" w:sz="0" w:space="0" w:color="auto"/>
        <w:bottom w:val="none" w:sz="0" w:space="0" w:color="auto"/>
        <w:right w:val="none" w:sz="0" w:space="0" w:color="auto"/>
      </w:divBdr>
    </w:div>
    <w:div w:id="442769418">
      <w:bodyDiv w:val="1"/>
      <w:marLeft w:val="0"/>
      <w:marRight w:val="0"/>
      <w:marTop w:val="0"/>
      <w:marBottom w:val="0"/>
      <w:divBdr>
        <w:top w:val="none" w:sz="0" w:space="0" w:color="auto"/>
        <w:left w:val="none" w:sz="0" w:space="0" w:color="auto"/>
        <w:bottom w:val="none" w:sz="0" w:space="0" w:color="auto"/>
        <w:right w:val="none" w:sz="0" w:space="0" w:color="auto"/>
      </w:divBdr>
    </w:div>
    <w:div w:id="838010244">
      <w:bodyDiv w:val="1"/>
      <w:marLeft w:val="0"/>
      <w:marRight w:val="0"/>
      <w:marTop w:val="0"/>
      <w:marBottom w:val="0"/>
      <w:divBdr>
        <w:top w:val="none" w:sz="0" w:space="0" w:color="auto"/>
        <w:left w:val="none" w:sz="0" w:space="0" w:color="auto"/>
        <w:bottom w:val="none" w:sz="0" w:space="0" w:color="auto"/>
        <w:right w:val="none" w:sz="0" w:space="0" w:color="auto"/>
      </w:divBdr>
    </w:div>
    <w:div w:id="924266221">
      <w:bodyDiv w:val="1"/>
      <w:marLeft w:val="0"/>
      <w:marRight w:val="0"/>
      <w:marTop w:val="0"/>
      <w:marBottom w:val="0"/>
      <w:divBdr>
        <w:top w:val="none" w:sz="0" w:space="0" w:color="auto"/>
        <w:left w:val="none" w:sz="0" w:space="0" w:color="auto"/>
        <w:bottom w:val="none" w:sz="0" w:space="0" w:color="auto"/>
        <w:right w:val="none" w:sz="0" w:space="0" w:color="auto"/>
      </w:divBdr>
    </w:div>
    <w:div w:id="962423249">
      <w:bodyDiv w:val="1"/>
      <w:marLeft w:val="0"/>
      <w:marRight w:val="0"/>
      <w:marTop w:val="0"/>
      <w:marBottom w:val="0"/>
      <w:divBdr>
        <w:top w:val="none" w:sz="0" w:space="0" w:color="auto"/>
        <w:left w:val="none" w:sz="0" w:space="0" w:color="auto"/>
        <w:bottom w:val="none" w:sz="0" w:space="0" w:color="auto"/>
        <w:right w:val="none" w:sz="0" w:space="0" w:color="auto"/>
      </w:divBdr>
    </w:div>
    <w:div w:id="979461567">
      <w:bodyDiv w:val="1"/>
      <w:marLeft w:val="0"/>
      <w:marRight w:val="0"/>
      <w:marTop w:val="0"/>
      <w:marBottom w:val="0"/>
      <w:divBdr>
        <w:top w:val="none" w:sz="0" w:space="0" w:color="auto"/>
        <w:left w:val="none" w:sz="0" w:space="0" w:color="auto"/>
        <w:bottom w:val="none" w:sz="0" w:space="0" w:color="auto"/>
        <w:right w:val="none" w:sz="0" w:space="0" w:color="auto"/>
      </w:divBdr>
    </w:div>
    <w:div w:id="1596330310">
      <w:bodyDiv w:val="1"/>
      <w:marLeft w:val="0"/>
      <w:marRight w:val="0"/>
      <w:marTop w:val="0"/>
      <w:marBottom w:val="0"/>
      <w:divBdr>
        <w:top w:val="none" w:sz="0" w:space="0" w:color="auto"/>
        <w:left w:val="none" w:sz="0" w:space="0" w:color="auto"/>
        <w:bottom w:val="none" w:sz="0" w:space="0" w:color="auto"/>
        <w:right w:val="none" w:sz="0" w:space="0" w:color="auto"/>
      </w:divBdr>
    </w:div>
    <w:div w:id="213628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ecfr.gov/cgi-bin/retrieveECFR?gp=1&amp;ty=HTML&amp;h=L&amp;mc=true&amp;=PART&amp;n=pt49.5.3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uckinginfo.com/340409/7-things-you-need-to-know-about-the-new-drug-and-alcohol-clearinghou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Deaton</dc:creator>
  <cp:keywords/>
  <dc:description/>
  <cp:lastModifiedBy>Matt Deaton</cp:lastModifiedBy>
  <cp:revision>2</cp:revision>
  <dcterms:created xsi:type="dcterms:W3CDTF">2020-09-16T15:15:00Z</dcterms:created>
  <dcterms:modified xsi:type="dcterms:W3CDTF">2020-09-16T15:15:00Z</dcterms:modified>
</cp:coreProperties>
</file>